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A2" w:rsidRDefault="00286E14">
      <w:pPr>
        <w:pStyle w:val="a4"/>
        <w:overflowPunct w:val="0"/>
        <w:jc w:val="both"/>
        <w:rPr>
          <w:rFonts w:ascii="標楷體" w:eastAsia="標楷體" w:hAnsi="標楷體"/>
          <w:bCs/>
          <w:color w:val="000000"/>
          <w:sz w:val="40"/>
          <w:szCs w:val="40"/>
        </w:rPr>
      </w:pPr>
      <w:bookmarkStart w:id="0" w:name="__DdeLink__233_1364983172"/>
      <w:bookmarkStart w:id="1" w:name="_GoBack"/>
      <w:bookmarkEnd w:id="0"/>
      <w:r>
        <w:rPr>
          <w:rFonts w:ascii="標楷體" w:eastAsia="標楷體" w:hAnsi="標楷體"/>
          <w:bCs/>
          <w:color w:val="000000"/>
          <w:sz w:val="40"/>
          <w:szCs w:val="40"/>
        </w:rPr>
        <w:t>教育部替代役教育服務役役男服勤管理要點部分規定修正規定</w:t>
      </w:r>
    </w:p>
    <w:bookmarkEnd w:id="1"/>
    <w:p w:rsidR="003A0CA2" w:rsidRDefault="00286E14">
      <w:pPr>
        <w:pStyle w:val="a4"/>
        <w:overflowPunct w:val="0"/>
        <w:spacing w:line="240" w:lineRule="auto"/>
        <w:ind w:left="560" w:hanging="560"/>
        <w:jc w:val="both"/>
        <w:rPr>
          <w:rFonts w:hint="eastAsia"/>
        </w:rPr>
      </w:pPr>
      <w:r>
        <w:rPr>
          <w:rFonts w:ascii="標楷體" w:eastAsia="標楷體" w:hAnsi="標楷體"/>
          <w:bCs/>
          <w:color w:val="000000"/>
          <w:sz w:val="28"/>
          <w:szCs w:val="28"/>
        </w:rPr>
        <w:t>二、</w:t>
      </w:r>
      <w:r>
        <w:rPr>
          <w:rFonts w:ascii="標楷體" w:eastAsia="標楷體" w:hAnsi="標楷體"/>
          <w:sz w:val="28"/>
          <w:szCs w:val="28"/>
        </w:rPr>
        <w:t>教育部（以下簡稱本部）替代役教育服務役（以下簡稱教育服務役）役男之服勤管理權責區分如下：</w:t>
      </w:r>
    </w:p>
    <w:p w:rsidR="003A0CA2" w:rsidRDefault="00286E14">
      <w:pPr>
        <w:pStyle w:val="a4"/>
        <w:tabs>
          <w:tab w:val="left" w:pos="851"/>
        </w:tabs>
        <w:overflowPunct w:val="0"/>
        <w:spacing w:line="240" w:lineRule="auto"/>
        <w:ind w:firstLine="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內政部為主管機關，負責政策指導等事項。</w:t>
      </w:r>
    </w:p>
    <w:p w:rsidR="003A0CA2" w:rsidRDefault="00286E14">
      <w:pPr>
        <w:pStyle w:val="a4"/>
        <w:overflowPunct w:val="0"/>
        <w:spacing w:line="240" w:lineRule="auto"/>
        <w:ind w:left="1134"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本部為需用機關，負責役男甄選、專業訓練、管理幹部訓練、役男分配及規劃督考等事項，其相關業務由本部學生事務及特殊教育司（以下簡稱學務特教司）辦理。</w:t>
      </w:r>
    </w:p>
    <w:p w:rsidR="003A0CA2" w:rsidRDefault="00286E14">
      <w:pPr>
        <w:pStyle w:val="a4"/>
        <w:overflowPunct w:val="0"/>
        <w:spacing w:line="240" w:lineRule="auto"/>
        <w:ind w:left="1134"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直轄市政府教育局、縣（市）政府、縣（市）聯絡處、本部國民及學前教育署、學務特教司及國際及兩岸教育司為服勤單位，負責各屬役男員額申請、經費編列、役籍管理、在職訓練及督考等工作。</w:t>
      </w:r>
    </w:p>
    <w:p w:rsidR="003A0CA2" w:rsidRDefault="00286E14">
      <w:pPr>
        <w:pStyle w:val="a4"/>
        <w:overflowPunct w:val="0"/>
        <w:spacing w:line="240" w:lineRule="auto"/>
        <w:ind w:left="1134" w:hanging="567"/>
        <w:jc w:val="both"/>
        <w:rPr>
          <w:rFonts w:hint="eastAsia"/>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役男服勤處所負責役男之生活管理及勤務分配與督（輔）導等事宜。</w:t>
      </w:r>
    </w:p>
    <w:p w:rsidR="003A0CA2" w:rsidRDefault="00286E14">
      <w:pPr>
        <w:pStyle w:val="a4"/>
        <w:tabs>
          <w:tab w:val="left" w:pos="709"/>
        </w:tabs>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縣（市）聯絡處應協助縣（市）政府役男服勤管理工作。</w:t>
      </w:r>
    </w:p>
    <w:p w:rsidR="003A0CA2" w:rsidRDefault="003A0CA2">
      <w:pPr>
        <w:pStyle w:val="a4"/>
        <w:overflowPunct w:val="0"/>
        <w:spacing w:line="240" w:lineRule="auto"/>
        <w:ind w:left="560" w:hanging="560"/>
        <w:jc w:val="both"/>
        <w:rPr>
          <w:rFonts w:ascii="標楷體" w:eastAsia="標楷體" w:hAnsi="標楷體"/>
          <w:sz w:val="28"/>
          <w:szCs w:val="28"/>
        </w:rPr>
      </w:pPr>
    </w:p>
    <w:p w:rsidR="003A0CA2" w:rsidRDefault="00286E14">
      <w:pPr>
        <w:pStyle w:val="a4"/>
        <w:overflowPunct w:val="0"/>
        <w:spacing w:line="240" w:lineRule="auto"/>
        <w:ind w:left="560" w:hanging="560"/>
        <w:jc w:val="both"/>
        <w:rPr>
          <w:rFonts w:hint="eastAsia"/>
        </w:rPr>
      </w:pPr>
      <w:r>
        <w:t>六、教育服務役專業訓練，由學務特教司編組專業訓練班辦理，訓練期間為一週以上。</w:t>
      </w:r>
    </w:p>
    <w:p w:rsidR="003A0CA2" w:rsidRDefault="003A0CA2">
      <w:pPr>
        <w:pStyle w:val="a4"/>
        <w:overflowPunct w:val="0"/>
        <w:spacing w:line="240" w:lineRule="auto"/>
        <w:ind w:left="560" w:hanging="560"/>
        <w:jc w:val="both"/>
        <w:rPr>
          <w:rFonts w:ascii="標楷體" w:eastAsia="標楷體" w:hAnsi="標楷體"/>
          <w:sz w:val="28"/>
          <w:szCs w:val="28"/>
        </w:rPr>
      </w:pPr>
    </w:p>
    <w:p w:rsidR="003A0CA2" w:rsidRDefault="00286E14">
      <w:pPr>
        <w:pStyle w:val="a4"/>
        <w:overflowPunct w:val="0"/>
        <w:spacing w:line="240" w:lineRule="auto"/>
        <w:ind w:left="560" w:hanging="560"/>
        <w:jc w:val="both"/>
        <w:rPr>
          <w:rFonts w:hint="eastAsia"/>
        </w:rPr>
      </w:pPr>
      <w:r>
        <w:t>十、分發及運用原則：</w:t>
      </w:r>
    </w:p>
    <w:p w:rsidR="003A0CA2" w:rsidRDefault="00286E14">
      <w:pPr>
        <w:pStyle w:val="a4"/>
        <w:tabs>
          <w:tab w:val="left" w:pos="371"/>
        </w:tabs>
        <w:overflowPunct w:val="0"/>
        <w:spacing w:line="240" w:lineRule="auto"/>
        <w:ind w:firstLine="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役男服勤單位（處所）之分發及調整，由本部辦理。</w:t>
      </w:r>
    </w:p>
    <w:p w:rsidR="003A0CA2" w:rsidRDefault="00286E14">
      <w:pPr>
        <w:pStyle w:val="a4"/>
        <w:tabs>
          <w:tab w:val="left" w:pos="-304"/>
        </w:tabs>
        <w:overflowPunct w:val="0"/>
        <w:spacing w:line="240" w:lineRule="auto"/>
        <w:ind w:left="1134"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各服勤單位應考量服勤處所人力需求、住宿設施及管理機制</w:t>
      </w:r>
      <w:r>
        <w:rPr>
          <w:rFonts w:ascii="標楷體" w:eastAsia="標楷體" w:hAnsi="標楷體"/>
          <w:sz w:val="28"/>
          <w:szCs w:val="28"/>
        </w:rPr>
        <w:t>，提出役男員額申請，經本部審核後，納入每梯次役男撥補，並由專業訓練班本公平、公正、公開原則辦理分發作業。</w:t>
      </w:r>
    </w:p>
    <w:p w:rsidR="003A0CA2" w:rsidRDefault="003A0CA2">
      <w:pPr>
        <w:pStyle w:val="a4"/>
        <w:overflowPunct w:val="0"/>
        <w:spacing w:line="240" w:lineRule="auto"/>
        <w:jc w:val="both"/>
        <w:rPr>
          <w:rFonts w:ascii="標楷體" w:eastAsia="標楷體" w:hAnsi="標楷體"/>
          <w:sz w:val="28"/>
          <w:szCs w:val="28"/>
        </w:rPr>
      </w:pPr>
    </w:p>
    <w:p w:rsidR="003A0CA2" w:rsidRDefault="00286E14">
      <w:pPr>
        <w:pStyle w:val="a4"/>
        <w:overflowPunct w:val="0"/>
        <w:spacing w:line="240" w:lineRule="auto"/>
        <w:ind w:left="560" w:hanging="560"/>
        <w:jc w:val="both"/>
        <w:rPr>
          <w:rFonts w:hint="eastAsia"/>
        </w:rPr>
      </w:pPr>
      <w:r>
        <w:t>十二、教育服務役役男執行之輔助性勤務工作內容如下：</w:t>
      </w:r>
    </w:p>
    <w:p w:rsidR="003A0CA2" w:rsidRDefault="00286E14">
      <w:pPr>
        <w:pStyle w:val="a4"/>
        <w:tabs>
          <w:tab w:val="left" w:pos="851"/>
          <w:tab w:val="left" w:pos="993"/>
        </w:tabs>
        <w:overflowPunct w:val="0"/>
        <w:spacing w:line="240" w:lineRule="auto"/>
        <w:ind w:firstLine="84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直接勤務：</w:t>
      </w:r>
    </w:p>
    <w:p w:rsidR="003A0CA2" w:rsidRDefault="00286E14">
      <w:pPr>
        <w:pStyle w:val="a4"/>
        <w:overflowPunct w:val="0"/>
        <w:spacing w:line="240" w:lineRule="auto"/>
        <w:ind w:left="566" w:firstLine="84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、協助維護校園安全。</w:t>
      </w:r>
    </w:p>
    <w:p w:rsidR="003A0CA2" w:rsidRDefault="00286E14">
      <w:pPr>
        <w:pStyle w:val="a4"/>
        <w:overflowPunct w:val="0"/>
        <w:spacing w:line="240" w:lineRule="auto"/>
        <w:ind w:left="566" w:firstLine="84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、協助春暉專案工作。</w:t>
      </w:r>
    </w:p>
    <w:p w:rsidR="003A0CA2" w:rsidRDefault="00286E14">
      <w:pPr>
        <w:pStyle w:val="a4"/>
        <w:overflowPunct w:val="0"/>
        <w:spacing w:line="240" w:lineRule="auto"/>
        <w:ind w:left="1556" w:hanging="14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、輔助教學。</w:t>
      </w:r>
    </w:p>
    <w:p w:rsidR="003A0CA2" w:rsidRDefault="00286E14">
      <w:pPr>
        <w:pStyle w:val="a4"/>
        <w:overflowPunct w:val="0"/>
        <w:spacing w:line="240" w:lineRule="auto"/>
        <w:ind w:left="283" w:firstLine="1134"/>
        <w:jc w:val="both"/>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、協助中輟生復學輔導。</w:t>
      </w:r>
    </w:p>
    <w:p w:rsidR="003A0CA2" w:rsidRDefault="00286E14">
      <w:pPr>
        <w:pStyle w:val="a4"/>
        <w:overflowPunct w:val="0"/>
        <w:spacing w:line="240" w:lineRule="auto"/>
        <w:ind w:firstLine="1417"/>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、協助特殊職能教學。</w:t>
      </w:r>
    </w:p>
    <w:p w:rsidR="003A0CA2" w:rsidRDefault="00286E14">
      <w:pPr>
        <w:pStyle w:val="a4"/>
        <w:overflowPunct w:val="0"/>
        <w:spacing w:line="240" w:lineRule="auto"/>
        <w:ind w:firstLine="1417"/>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、協助推廣閱讀。</w:t>
      </w:r>
    </w:p>
    <w:p w:rsidR="003A0CA2" w:rsidRDefault="00286E14">
      <w:pPr>
        <w:pStyle w:val="a4"/>
        <w:overflowPunct w:val="0"/>
        <w:spacing w:line="240" w:lineRule="auto"/>
        <w:ind w:firstLine="1417"/>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、協助終身教育推展。</w:t>
      </w:r>
    </w:p>
    <w:p w:rsidR="003A0CA2" w:rsidRDefault="00286E14">
      <w:pPr>
        <w:pStyle w:val="a4"/>
        <w:overflowPunct w:val="0"/>
        <w:spacing w:line="240" w:lineRule="auto"/>
        <w:ind w:firstLine="1417"/>
        <w:jc w:val="both"/>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、協助資訊科技教育推展。</w:t>
      </w:r>
    </w:p>
    <w:p w:rsidR="003A0CA2" w:rsidRDefault="00286E14">
      <w:pPr>
        <w:pStyle w:val="a4"/>
        <w:overflowPunct w:val="0"/>
        <w:spacing w:line="240" w:lineRule="auto"/>
        <w:ind w:firstLine="1417"/>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、協助教育行政。</w:t>
      </w:r>
    </w:p>
    <w:p w:rsidR="003A0CA2" w:rsidRDefault="00286E14">
      <w:pPr>
        <w:pStyle w:val="a4"/>
        <w:tabs>
          <w:tab w:val="left" w:pos="371"/>
        </w:tabs>
        <w:overflowPunct w:val="0"/>
        <w:spacing w:line="240" w:lineRule="auto"/>
        <w:ind w:left="480" w:firstLine="40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其他勤務：</w:t>
      </w:r>
    </w:p>
    <w:p w:rsidR="003A0CA2" w:rsidRDefault="00286E14">
      <w:pPr>
        <w:pStyle w:val="a4"/>
        <w:overflowPunct w:val="0"/>
        <w:spacing w:line="240" w:lineRule="auto"/>
        <w:ind w:firstLine="145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、環境清潔及維護。</w:t>
      </w:r>
    </w:p>
    <w:p w:rsidR="003A0CA2" w:rsidRDefault="00286E14">
      <w:pPr>
        <w:pStyle w:val="a4"/>
        <w:overflowPunct w:val="0"/>
        <w:spacing w:line="240" w:lineRule="auto"/>
        <w:ind w:firstLine="147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、校園綠化及美化。</w:t>
      </w:r>
    </w:p>
    <w:p w:rsidR="003A0CA2" w:rsidRDefault="00286E14">
      <w:pPr>
        <w:pStyle w:val="a4"/>
        <w:overflowPunct w:val="0"/>
        <w:spacing w:line="240" w:lineRule="auto"/>
        <w:ind w:firstLine="147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、參與公益服務活動。</w:t>
      </w:r>
    </w:p>
    <w:p w:rsidR="003A0CA2" w:rsidRDefault="00286E14">
      <w:pPr>
        <w:pStyle w:val="a4"/>
        <w:overflowPunct w:val="0"/>
        <w:spacing w:line="240" w:lineRule="auto"/>
        <w:ind w:firstLine="147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、臨時交辦事項。</w:t>
      </w:r>
    </w:p>
    <w:p w:rsidR="003A0CA2" w:rsidRDefault="00286E14">
      <w:pPr>
        <w:pStyle w:val="a4"/>
        <w:overflowPunct w:val="0"/>
        <w:spacing w:line="240" w:lineRule="auto"/>
        <w:ind w:left="924" w:firstLine="560"/>
        <w:jc w:val="both"/>
        <w:rPr>
          <w:rFonts w:ascii="標楷體" w:eastAsia="標楷體" w:hAnsi="標楷體"/>
          <w:sz w:val="28"/>
          <w:szCs w:val="28"/>
        </w:rPr>
      </w:pPr>
      <w:r>
        <w:rPr>
          <w:rFonts w:ascii="標楷體" w:eastAsia="標楷體" w:hAnsi="標楷體"/>
          <w:sz w:val="28"/>
          <w:szCs w:val="28"/>
        </w:rPr>
        <w:t>前項第一款第一目至第八目直接勤務內容，包括相關教育行政輔助工作。</w:t>
      </w:r>
    </w:p>
    <w:p w:rsidR="003A0CA2" w:rsidRDefault="00286E14">
      <w:pPr>
        <w:pStyle w:val="a4"/>
        <w:overflowPunct w:val="0"/>
        <w:spacing w:line="240" w:lineRule="auto"/>
        <w:ind w:left="559" w:firstLine="896"/>
        <w:jc w:val="both"/>
        <w:rPr>
          <w:rFonts w:ascii="標楷體" w:eastAsia="標楷體" w:hAnsi="標楷體"/>
          <w:sz w:val="28"/>
          <w:szCs w:val="28"/>
        </w:rPr>
      </w:pPr>
      <w:r>
        <w:rPr>
          <w:rFonts w:ascii="標楷體" w:eastAsia="標楷體" w:hAnsi="標楷體"/>
          <w:sz w:val="28"/>
          <w:szCs w:val="28"/>
        </w:rPr>
        <w:t>役男每週直接勤務，不得低於服勤總時數百分之六十。</w:t>
      </w:r>
    </w:p>
    <w:p w:rsidR="003A0CA2" w:rsidRDefault="003A0CA2">
      <w:pPr>
        <w:pStyle w:val="a4"/>
        <w:overflowPunct w:val="0"/>
        <w:spacing w:line="240" w:lineRule="auto"/>
        <w:ind w:left="560" w:hanging="560"/>
        <w:jc w:val="both"/>
        <w:rPr>
          <w:rFonts w:ascii="標楷體" w:eastAsia="標楷體" w:hAnsi="標楷體"/>
          <w:sz w:val="28"/>
          <w:szCs w:val="28"/>
        </w:rPr>
      </w:pPr>
    </w:p>
    <w:p w:rsidR="003A0CA2" w:rsidRDefault="00286E14">
      <w:pPr>
        <w:pStyle w:val="a4"/>
        <w:overflowPunct w:val="0"/>
        <w:spacing w:line="240" w:lineRule="auto"/>
        <w:jc w:val="both"/>
        <w:rPr>
          <w:rFonts w:hint="eastAsia"/>
        </w:rPr>
      </w:pPr>
      <w:r>
        <w:t>十三、教育服務役役男勤務派遣原則如下：</w:t>
      </w:r>
    </w:p>
    <w:p w:rsidR="003A0CA2" w:rsidRDefault="00286E14">
      <w:pPr>
        <w:pStyle w:val="a4"/>
        <w:overflowPunct w:val="0"/>
        <w:spacing w:line="240" w:lineRule="auto"/>
        <w:ind w:left="1416"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役男勤務之指派須注意輔助性原則，即非以自己名義行使公權力，無獨任或決定之權限，並受該管公務員之指揮、監督、管理、從事助手之勤務工作。</w:t>
      </w:r>
    </w:p>
    <w:p w:rsidR="003A0CA2" w:rsidRDefault="00286E14">
      <w:pPr>
        <w:pStyle w:val="a4"/>
        <w:overflowPunct w:val="0"/>
        <w:spacing w:line="240" w:lineRule="auto"/>
        <w:ind w:left="1417"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嚴禁指示役男從事與公務無關之工作，違反者，服勤單位應主動調整役男服勤處所。</w:t>
      </w:r>
    </w:p>
    <w:p w:rsidR="003A0CA2" w:rsidRDefault="00286E14">
      <w:pPr>
        <w:pStyle w:val="a4"/>
        <w:overflowPunct w:val="0"/>
        <w:spacing w:line="240" w:lineRule="auto"/>
        <w:ind w:left="1416"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服勤處所應結合役男專長及原需求申請項目，依前點第一項所列勤務工作內容編排勤務分配表。變更役男原需求申請項目時，須經本部核定。</w:t>
      </w:r>
    </w:p>
    <w:p w:rsidR="003A0CA2" w:rsidRDefault="003A0CA2">
      <w:pPr>
        <w:pStyle w:val="a4"/>
        <w:overflowPunct w:val="0"/>
        <w:spacing w:line="240" w:lineRule="auto"/>
        <w:ind w:left="1040" w:hanging="560"/>
        <w:jc w:val="both"/>
        <w:rPr>
          <w:rFonts w:ascii="標楷體" w:eastAsia="標楷體" w:hAnsi="標楷體"/>
          <w:sz w:val="28"/>
          <w:szCs w:val="28"/>
        </w:rPr>
      </w:pPr>
    </w:p>
    <w:p w:rsidR="003A0CA2" w:rsidRDefault="00286E14">
      <w:pPr>
        <w:pStyle w:val="a4"/>
        <w:overflowPunct w:val="0"/>
        <w:spacing w:line="240" w:lineRule="auto"/>
        <w:jc w:val="both"/>
        <w:rPr>
          <w:rFonts w:hint="eastAsia"/>
        </w:rPr>
      </w:pPr>
      <w:r>
        <w:t>十四、教育服務役役男服勤時間如下：</w:t>
      </w:r>
    </w:p>
    <w:p w:rsidR="003A0CA2" w:rsidRDefault="00286E14">
      <w:pPr>
        <w:pStyle w:val="a4"/>
        <w:overflowPunct w:val="0"/>
        <w:spacing w:line="240" w:lineRule="auto"/>
        <w:ind w:left="1413" w:hanging="56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勤務時間之安排自零時起至二十四時止，每日服勤時間八小時，延長服勤時間以不超過四小時為限；服勤處所並應考量役男權益，於事後減免勤務時間或酌予獎勵。</w:t>
      </w:r>
    </w:p>
    <w:p w:rsidR="003A0CA2" w:rsidRDefault="00286E14">
      <w:pPr>
        <w:pStyle w:val="a4"/>
        <w:tabs>
          <w:tab w:val="left" w:pos="60"/>
        </w:tabs>
        <w:overflowPunct w:val="0"/>
        <w:spacing w:line="240" w:lineRule="auto"/>
        <w:ind w:left="1417" w:hanging="567"/>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役男除放假、請假、服勤及參加訓練外，餘均應於服勤處所內備勤待命。役男待命時間若因臨時需要執行勤務，其值勤時間應計入前款之勤務時間。</w:t>
      </w:r>
    </w:p>
    <w:p w:rsidR="003A0CA2" w:rsidRDefault="003A0CA2">
      <w:pPr>
        <w:pStyle w:val="a4"/>
        <w:overflowPunct w:val="0"/>
        <w:spacing w:line="240" w:lineRule="auto"/>
        <w:jc w:val="both"/>
        <w:rPr>
          <w:rFonts w:ascii="標楷體" w:eastAsia="標楷體" w:hAnsi="標楷體"/>
          <w:sz w:val="28"/>
          <w:szCs w:val="28"/>
        </w:rPr>
      </w:pPr>
    </w:p>
    <w:p w:rsidR="003A0CA2" w:rsidRDefault="00286E14">
      <w:pPr>
        <w:pStyle w:val="a4"/>
        <w:overflowPunct w:val="0"/>
        <w:spacing w:line="240" w:lineRule="auto"/>
        <w:ind w:left="850" w:hanging="850"/>
        <w:jc w:val="both"/>
        <w:rPr>
          <w:rFonts w:hint="eastAsia"/>
        </w:rPr>
      </w:pPr>
      <w:r>
        <w:t>十六、教育服務役役男放假，依行政院人事行政總處規定之例假日實施。因勤務停止放假時，應予預休或補休。</w:t>
      </w:r>
    </w:p>
    <w:p w:rsidR="003A0CA2" w:rsidRDefault="003A0CA2">
      <w:pPr>
        <w:pStyle w:val="a4"/>
        <w:overflowPunct w:val="0"/>
        <w:spacing w:line="240" w:lineRule="auto"/>
        <w:ind w:left="840" w:hanging="840"/>
        <w:jc w:val="both"/>
        <w:rPr>
          <w:rFonts w:ascii="標楷體" w:eastAsia="標楷體" w:hAnsi="標楷體"/>
          <w:sz w:val="28"/>
          <w:szCs w:val="28"/>
        </w:rPr>
      </w:pPr>
    </w:p>
    <w:p w:rsidR="003A0CA2" w:rsidRDefault="00286E14">
      <w:pPr>
        <w:pStyle w:val="a4"/>
        <w:overflowPunct w:val="0"/>
        <w:spacing w:line="240" w:lineRule="auto"/>
        <w:ind w:left="1134" w:hanging="1134"/>
        <w:jc w:val="both"/>
        <w:rPr>
          <w:rFonts w:hint="eastAsia"/>
        </w:rPr>
      </w:pPr>
      <w:r>
        <w:t>二十四、為激勵教育服務役役男工作士氣、指導服勤要領，各服勤單位應實施勤務訪視及輔導，以解決相關問題；對於服勤時有身心狀況或遭遇感情等問題之役男，應造冊關懷輔導，且辦理轉介至專業機構接受諮商輔導。</w:t>
      </w:r>
    </w:p>
    <w:p w:rsidR="003A0CA2" w:rsidRDefault="003A0CA2">
      <w:pPr>
        <w:pStyle w:val="a4"/>
        <w:overflowPunct w:val="0"/>
        <w:spacing w:line="240" w:lineRule="auto"/>
        <w:ind w:left="1120" w:hanging="1120"/>
        <w:jc w:val="both"/>
        <w:rPr>
          <w:rFonts w:ascii="標楷體" w:eastAsia="標楷體" w:hAnsi="標楷體"/>
          <w:sz w:val="28"/>
          <w:szCs w:val="28"/>
        </w:rPr>
      </w:pPr>
    </w:p>
    <w:p w:rsidR="003A0CA2" w:rsidRDefault="00286E14">
      <w:pPr>
        <w:pStyle w:val="a4"/>
        <w:overflowPunct w:val="0"/>
        <w:spacing w:line="240" w:lineRule="auto"/>
        <w:ind w:left="1134" w:hanging="1134"/>
        <w:jc w:val="both"/>
        <w:rPr>
          <w:rFonts w:hint="eastAsia"/>
        </w:rPr>
      </w:pPr>
      <w:r>
        <w:t>二十六、教育服務役役男無故不就指定職役或違抗管理（監督）長官之勤務命令者，由服勤處所通報服勤單位處理，並視情節移請司法機關究辦，及副知本部、內政部役政署。</w:t>
      </w:r>
    </w:p>
    <w:p w:rsidR="003A0CA2" w:rsidRDefault="003A0CA2">
      <w:pPr>
        <w:pStyle w:val="a4"/>
        <w:overflowPunct w:val="0"/>
        <w:spacing w:line="240" w:lineRule="auto"/>
        <w:ind w:left="1120" w:hanging="1120"/>
        <w:jc w:val="both"/>
        <w:rPr>
          <w:rFonts w:ascii="標楷體" w:eastAsia="標楷體" w:hAnsi="標楷體"/>
          <w:sz w:val="28"/>
          <w:szCs w:val="28"/>
        </w:rPr>
      </w:pPr>
    </w:p>
    <w:p w:rsidR="003A0CA2" w:rsidRDefault="00286E14">
      <w:pPr>
        <w:pStyle w:val="a4"/>
        <w:overflowPunct w:val="0"/>
        <w:spacing w:line="240" w:lineRule="auto"/>
        <w:ind w:left="1134" w:hanging="1134"/>
        <w:jc w:val="both"/>
        <w:rPr>
          <w:rFonts w:hint="eastAsia"/>
        </w:rPr>
      </w:pPr>
      <w:r>
        <w:t>二十八、教育服務役役男發生重大事故或意外事件時，服勤處所應於二十四小時內以電話及傳真向服勤單位及本部通報並副知內政部役政署。</w:t>
      </w:r>
    </w:p>
    <w:p w:rsidR="003A0CA2" w:rsidRDefault="003A0CA2">
      <w:pPr>
        <w:pStyle w:val="a4"/>
        <w:overflowPunct w:val="0"/>
        <w:spacing w:line="240" w:lineRule="auto"/>
        <w:ind w:left="1120" w:hanging="1120"/>
        <w:jc w:val="both"/>
        <w:rPr>
          <w:rFonts w:ascii="標楷體" w:eastAsia="標楷體" w:hAnsi="標楷體"/>
          <w:sz w:val="28"/>
          <w:szCs w:val="28"/>
        </w:rPr>
      </w:pPr>
    </w:p>
    <w:p w:rsidR="003A0CA2" w:rsidRDefault="00286E14">
      <w:pPr>
        <w:pStyle w:val="a4"/>
        <w:overflowPunct w:val="0"/>
        <w:spacing w:line="240" w:lineRule="auto"/>
        <w:ind w:left="1120" w:hanging="1120"/>
        <w:jc w:val="both"/>
        <w:rPr>
          <w:rFonts w:hint="eastAsia"/>
        </w:rPr>
      </w:pPr>
      <w:r>
        <w:t>二十九、教育服務役役男，役籍</w:t>
      </w:r>
      <w:r>
        <w:t>管理權責區分如下：</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訓練期間：由訓練單位管理。</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服勤期間：由服勤單位管理。</w:t>
      </w:r>
    </w:p>
    <w:p w:rsidR="003A0CA2" w:rsidRDefault="00286E14">
      <w:pPr>
        <w:pStyle w:val="a4"/>
        <w:tabs>
          <w:tab w:val="left" w:pos="-909"/>
        </w:tabs>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停役、退役、除役後：由戶籍所在地鄉（鎮、市、區）公所管理。</w:t>
      </w:r>
    </w:p>
    <w:p w:rsidR="003A0CA2" w:rsidRDefault="003A0CA2">
      <w:pPr>
        <w:pStyle w:val="a4"/>
        <w:overflowPunct w:val="0"/>
        <w:spacing w:line="240" w:lineRule="auto"/>
        <w:jc w:val="both"/>
        <w:rPr>
          <w:rFonts w:ascii="標楷體" w:eastAsia="標楷體" w:hAnsi="標楷體"/>
          <w:sz w:val="28"/>
          <w:szCs w:val="28"/>
        </w:rPr>
      </w:pPr>
    </w:p>
    <w:p w:rsidR="003A0CA2" w:rsidRDefault="00286E14">
      <w:pPr>
        <w:pStyle w:val="a4"/>
        <w:overflowPunct w:val="0"/>
        <w:spacing w:line="240" w:lineRule="auto"/>
        <w:ind w:left="1134" w:hanging="1134"/>
        <w:jc w:val="both"/>
        <w:rPr>
          <w:rFonts w:hint="eastAsia"/>
        </w:rPr>
      </w:pPr>
      <w:r>
        <w:t>三十五、懲處種類：罰站、罰勤、禁足、申誡、記過、罰薪、輔導教育。</w:t>
      </w:r>
    </w:p>
    <w:p w:rsidR="003A0CA2" w:rsidRDefault="003A0CA2">
      <w:pPr>
        <w:pStyle w:val="a4"/>
        <w:overflowPunct w:val="0"/>
        <w:spacing w:line="240" w:lineRule="auto"/>
        <w:ind w:left="1120" w:hanging="1120"/>
        <w:jc w:val="both"/>
        <w:rPr>
          <w:rFonts w:ascii="標楷體" w:eastAsia="標楷體" w:hAnsi="標楷體"/>
          <w:sz w:val="28"/>
          <w:szCs w:val="28"/>
        </w:rPr>
      </w:pPr>
    </w:p>
    <w:p w:rsidR="003A0CA2" w:rsidRDefault="00286E14">
      <w:pPr>
        <w:pStyle w:val="a4"/>
        <w:overflowPunct w:val="0"/>
        <w:spacing w:line="240" w:lineRule="auto"/>
        <w:ind w:left="1120" w:hanging="1120"/>
        <w:jc w:val="both"/>
        <w:rPr>
          <w:rFonts w:hint="eastAsia"/>
        </w:rPr>
      </w:pPr>
      <w:r>
        <w:t>三十七、懲處權責區分如下：</w:t>
      </w:r>
    </w:p>
    <w:p w:rsidR="003A0CA2" w:rsidRDefault="00286E14">
      <w:pPr>
        <w:pStyle w:val="a4"/>
        <w:overflowPunct w:val="0"/>
        <w:spacing w:line="240" w:lineRule="auto"/>
        <w:ind w:left="998" w:firstLine="13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罰勤及禁足由訓練單位或服勤單位（處所）核處。</w:t>
      </w:r>
    </w:p>
    <w:p w:rsidR="003A0CA2" w:rsidRDefault="00286E14">
      <w:pPr>
        <w:pStyle w:val="a4"/>
        <w:overflowPunct w:val="0"/>
        <w:spacing w:line="240" w:lineRule="auto"/>
        <w:ind w:left="998" w:firstLine="13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申誡及記過由服勤單位核處。</w:t>
      </w:r>
    </w:p>
    <w:p w:rsidR="003A0CA2" w:rsidRDefault="00286E14">
      <w:pPr>
        <w:pStyle w:val="a4"/>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罰薪及輔導教育由服勤單位（處所）提出，報請本部核定。</w:t>
      </w:r>
    </w:p>
    <w:p w:rsidR="003A0CA2" w:rsidRDefault="00286E14">
      <w:pPr>
        <w:pStyle w:val="a4"/>
        <w:tabs>
          <w:tab w:val="left" w:pos="-742"/>
        </w:tabs>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罰站由訓練單位核處，每次以二小時為限，實施五十分鐘，休息十分鐘。但僅限於專業訓練及輔導教育期間實施。</w:t>
      </w:r>
    </w:p>
    <w:p w:rsidR="003A0CA2" w:rsidRDefault="003A0CA2">
      <w:pPr>
        <w:pStyle w:val="a4"/>
        <w:tabs>
          <w:tab w:val="left" w:pos="993"/>
        </w:tabs>
        <w:overflowPunct w:val="0"/>
        <w:spacing w:line="240" w:lineRule="auto"/>
        <w:jc w:val="both"/>
        <w:rPr>
          <w:rFonts w:ascii="標楷體" w:eastAsia="標楷體" w:hAnsi="標楷體"/>
          <w:sz w:val="28"/>
          <w:szCs w:val="28"/>
        </w:rPr>
      </w:pPr>
    </w:p>
    <w:p w:rsidR="003A0CA2" w:rsidRDefault="00286E14">
      <w:pPr>
        <w:pStyle w:val="a4"/>
        <w:overflowPunct w:val="0"/>
        <w:spacing w:line="240" w:lineRule="auto"/>
        <w:ind w:left="1134" w:hanging="1134"/>
        <w:jc w:val="both"/>
        <w:rPr>
          <w:rFonts w:hint="eastAsia"/>
        </w:rPr>
      </w:pPr>
      <w:r>
        <w:t>三十九、教育服務役役男請假類別區分為公假、病假、陪產假、婚假、喪假及事假等如下：</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公假：</w:t>
      </w:r>
    </w:p>
    <w:p w:rsidR="003A0CA2" w:rsidRDefault="00286E14">
      <w:pPr>
        <w:pStyle w:val="a4"/>
        <w:overflowPunct w:val="0"/>
        <w:spacing w:line="240" w:lineRule="auto"/>
        <w:ind w:firstLine="1701"/>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、參加政府召集之集會或舉辦之各種考試。</w:t>
      </w:r>
    </w:p>
    <w:p w:rsidR="003A0CA2" w:rsidRDefault="00286E14">
      <w:pPr>
        <w:pStyle w:val="a4"/>
        <w:overflowPunct w:val="0"/>
        <w:spacing w:line="240" w:lineRule="auto"/>
        <w:ind w:firstLine="1701"/>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、參加政府依法主辦之各項投票。</w:t>
      </w:r>
    </w:p>
    <w:p w:rsidR="003A0CA2" w:rsidRDefault="00286E14">
      <w:pPr>
        <w:pStyle w:val="a4"/>
        <w:overflowPunct w:val="0"/>
        <w:spacing w:line="240" w:lineRule="auto"/>
        <w:ind w:left="2154" w:hanging="45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、應國內外機關團體邀請，參加與其職務有關之各項會議或活動。</w:t>
      </w:r>
    </w:p>
    <w:p w:rsidR="003A0CA2" w:rsidRDefault="00286E14">
      <w:pPr>
        <w:pStyle w:val="a4"/>
        <w:tabs>
          <w:tab w:val="left" w:pos="709"/>
          <w:tab w:val="left" w:pos="851"/>
        </w:tabs>
        <w:overflowPunct w:val="0"/>
        <w:spacing w:line="240" w:lineRule="auto"/>
        <w:ind w:firstLine="1701"/>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、基於法定義務出席作證、答辯。</w:t>
      </w:r>
    </w:p>
    <w:p w:rsidR="003A0CA2" w:rsidRDefault="00286E14">
      <w:pPr>
        <w:pStyle w:val="a4"/>
        <w:overflowPunct w:val="0"/>
        <w:spacing w:line="240" w:lineRule="auto"/>
        <w:ind w:firstLine="1701"/>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、奉派或奉准參加與其職務有關之訓練或活動。</w:t>
      </w:r>
    </w:p>
    <w:p w:rsidR="003A0CA2" w:rsidRDefault="00286E14">
      <w:pPr>
        <w:pStyle w:val="a4"/>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病假：役男因疾病必須治療或休養，經檢具合法醫療機構證明書者，酌予核給病假，一次不得超過三十日。服勤單位於必要時，得將其送至指定醫院複診，再核予指定處所內適當休養方式及天數。</w:t>
      </w:r>
    </w:p>
    <w:p w:rsidR="003A0CA2" w:rsidRDefault="00286E14">
      <w:pPr>
        <w:pStyle w:val="a4"/>
        <w:tabs>
          <w:tab w:val="left" w:pos="-543"/>
        </w:tabs>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陪產假：役男因配偶分娩，核給陪產假五日，得分次申請。但應於配偶分娩之當日及前後合計十五日期間內請畢。</w:t>
      </w:r>
    </w:p>
    <w:p w:rsidR="003A0CA2" w:rsidRDefault="00286E14">
      <w:pPr>
        <w:pStyle w:val="a4"/>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婚假：役男結婚，應檢附相關證明，由服勤單位核給婚假十四日，可分次申請，但應於一個月內請畢。</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喪假：</w:t>
      </w:r>
    </w:p>
    <w:p w:rsidR="003A0CA2" w:rsidRDefault="00286E14">
      <w:pPr>
        <w:pStyle w:val="a4"/>
        <w:overflowPunct w:val="0"/>
        <w:spacing w:line="240" w:lineRule="auto"/>
        <w:ind w:firstLine="1701"/>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、父母、養父母或配偶死亡者，給假十五日。</w:t>
      </w:r>
    </w:p>
    <w:p w:rsidR="003A0CA2" w:rsidRDefault="00286E14">
      <w:pPr>
        <w:pStyle w:val="a4"/>
        <w:tabs>
          <w:tab w:val="left" w:pos="60"/>
        </w:tabs>
        <w:overflowPunct w:val="0"/>
        <w:spacing w:line="240" w:lineRule="auto"/>
        <w:ind w:left="2154"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、繼父母、配偶之父母、配偶之養父母或子女死亡者，給假十日。</w:t>
      </w:r>
    </w:p>
    <w:p w:rsidR="003A0CA2" w:rsidRDefault="00286E14">
      <w:pPr>
        <w:pStyle w:val="a4"/>
        <w:overflowPunct w:val="0"/>
        <w:spacing w:line="240" w:lineRule="auto"/>
        <w:ind w:left="2154" w:hanging="45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、曾祖父母、祖父母、配偶之祖父母、配偶之繼父母或兄弟姊妹死亡者，給假五日。</w:t>
      </w:r>
    </w:p>
    <w:p w:rsidR="003A0CA2" w:rsidRDefault="00286E14">
      <w:pPr>
        <w:pStyle w:val="a4"/>
        <w:overflowPunct w:val="0"/>
        <w:spacing w:line="240" w:lineRule="auto"/>
        <w:ind w:left="2154"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、前三目喪假可分次申請，但應於死亡之日起百日內請畢。</w:t>
      </w:r>
    </w:p>
    <w:p w:rsidR="003A0CA2" w:rsidRDefault="00286E14">
      <w:pPr>
        <w:pStyle w:val="a4"/>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事假：役男因特殊事故必須本人親自處理者，得視需要核給</w:t>
      </w:r>
      <w:r>
        <w:rPr>
          <w:rFonts w:ascii="標楷體" w:eastAsia="標楷體" w:hAnsi="標楷體"/>
          <w:sz w:val="28"/>
          <w:szCs w:val="28"/>
        </w:rPr>
        <w:t>事假，並應擇日施以補勤；其按時數請假時，應以累計八小時折算一日。</w:t>
      </w:r>
    </w:p>
    <w:p w:rsidR="003A0CA2" w:rsidRDefault="00286E14">
      <w:pPr>
        <w:pStyle w:val="a4"/>
        <w:overflowPunct w:val="0"/>
        <w:spacing w:line="240" w:lineRule="auto"/>
        <w:ind w:left="1134" w:firstLine="567"/>
        <w:jc w:val="both"/>
        <w:rPr>
          <w:rFonts w:ascii="標楷體" w:eastAsia="標楷體" w:hAnsi="標楷體"/>
          <w:sz w:val="28"/>
          <w:szCs w:val="28"/>
        </w:rPr>
      </w:pPr>
      <w:r>
        <w:rPr>
          <w:rFonts w:ascii="標楷體" w:eastAsia="標楷體" w:hAnsi="標楷體"/>
          <w:sz w:val="28"/>
          <w:szCs w:val="28"/>
        </w:rPr>
        <w:t>替代役役男放假一日以二十四小時計；其實際收、放假時程，由服勤單位依勤務性質律定之。</w:t>
      </w:r>
    </w:p>
    <w:p w:rsidR="003A0CA2" w:rsidRDefault="00286E14">
      <w:pPr>
        <w:pStyle w:val="a4"/>
        <w:tabs>
          <w:tab w:val="left" w:pos="-534"/>
        </w:tabs>
        <w:overflowPunct w:val="0"/>
        <w:spacing w:line="240" w:lineRule="auto"/>
        <w:ind w:left="1134" w:firstLine="567"/>
        <w:jc w:val="both"/>
        <w:rPr>
          <w:rFonts w:ascii="標楷體" w:eastAsia="標楷體" w:hAnsi="標楷體"/>
          <w:sz w:val="28"/>
          <w:szCs w:val="28"/>
        </w:rPr>
      </w:pPr>
      <w:r>
        <w:rPr>
          <w:rFonts w:ascii="標楷體" w:eastAsia="標楷體" w:hAnsi="標楷體"/>
          <w:sz w:val="28"/>
          <w:szCs w:val="28"/>
        </w:rPr>
        <w:t>役男放假（積假）日數，一次最長以不超過十日（包括例假、補假及榮譽假等）為原則；離外島及海外服勤役男，不在此限。</w:t>
      </w:r>
    </w:p>
    <w:p w:rsidR="003A0CA2" w:rsidRDefault="003A0CA2">
      <w:pPr>
        <w:pStyle w:val="a4"/>
        <w:tabs>
          <w:tab w:val="left" w:pos="426"/>
        </w:tabs>
        <w:overflowPunct w:val="0"/>
        <w:spacing w:line="240" w:lineRule="auto"/>
        <w:jc w:val="both"/>
        <w:rPr>
          <w:rFonts w:ascii="標楷體" w:eastAsia="標楷體" w:hAnsi="標楷體"/>
          <w:sz w:val="28"/>
          <w:szCs w:val="28"/>
        </w:rPr>
      </w:pPr>
    </w:p>
    <w:p w:rsidR="003A0CA2" w:rsidRDefault="00286E14">
      <w:pPr>
        <w:pStyle w:val="a4"/>
        <w:overflowPunct w:val="0"/>
        <w:spacing w:line="240" w:lineRule="auto"/>
        <w:ind w:left="1120" w:hanging="1120"/>
        <w:jc w:val="both"/>
        <w:rPr>
          <w:rFonts w:hint="eastAsia"/>
        </w:rPr>
      </w:pPr>
      <w:r>
        <w:t>四十三、教育服務役役男之住宿規定如下</w:t>
      </w:r>
      <w:r>
        <w:rPr>
          <w:rFonts w:ascii="標楷體" w:eastAsia="標楷體" w:hAnsi="標楷體"/>
          <w:sz w:val="28"/>
          <w:szCs w:val="28"/>
        </w:rPr>
        <w:t>：</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訓練期間，集中住宿於訓練單位。</w:t>
      </w:r>
    </w:p>
    <w:p w:rsidR="003A0CA2" w:rsidRDefault="00286E14">
      <w:pPr>
        <w:pStyle w:val="a4"/>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服勤期間，住宿於服勤處所提供之住所；服勤處所並應提供適當住宿空間與床組、寢具、盥洗室、書桌、衣櫃、飲水機與水電等基本生活設備及所需。</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役男為家庭因素者，得向服勤處所申請返家住宿。</w:t>
      </w:r>
    </w:p>
    <w:p w:rsidR="003A0CA2" w:rsidRDefault="003A0CA2">
      <w:pPr>
        <w:pStyle w:val="a4"/>
        <w:overflowPunct w:val="0"/>
        <w:spacing w:line="240" w:lineRule="auto"/>
        <w:jc w:val="both"/>
        <w:rPr>
          <w:rFonts w:ascii="標楷體" w:eastAsia="標楷體" w:hAnsi="標楷體"/>
          <w:sz w:val="28"/>
          <w:szCs w:val="28"/>
        </w:rPr>
      </w:pPr>
    </w:p>
    <w:p w:rsidR="003A0CA2" w:rsidRDefault="00286E14">
      <w:pPr>
        <w:pStyle w:val="a4"/>
        <w:overflowPunct w:val="0"/>
        <w:spacing w:line="240" w:lineRule="auto"/>
        <w:ind w:left="1120" w:hanging="1120"/>
        <w:jc w:val="both"/>
        <w:rPr>
          <w:rFonts w:ascii="標楷體" w:eastAsia="標楷體" w:hAnsi="標楷體"/>
          <w:sz w:val="28"/>
          <w:szCs w:val="28"/>
        </w:rPr>
      </w:pPr>
      <w:r>
        <w:rPr>
          <w:rFonts w:ascii="標楷體" w:eastAsia="標楷體" w:hAnsi="標楷體"/>
          <w:sz w:val="28"/>
          <w:szCs w:val="28"/>
        </w:rPr>
        <w:t>四十五、教育服務役役男請調規定如下：</w:t>
      </w:r>
    </w:p>
    <w:p w:rsidR="003A0CA2" w:rsidRDefault="00286E14">
      <w:pPr>
        <w:pStyle w:val="a4"/>
        <w:overflowPunct w:val="0"/>
        <w:spacing w:line="240" w:lineRule="auto"/>
        <w:ind w:firstLine="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請調單位限於同一性質機關。</w:t>
      </w:r>
    </w:p>
    <w:p w:rsidR="003A0CA2" w:rsidRDefault="00286E14">
      <w:pPr>
        <w:pStyle w:val="a4"/>
        <w:tabs>
          <w:tab w:val="left" w:pos="-771"/>
        </w:tabs>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於同一處所服役未滿一個月或距離服役期滿一個月以內者，不得請調。</w:t>
      </w:r>
    </w:p>
    <w:p w:rsidR="003A0CA2" w:rsidRDefault="00286E14">
      <w:pPr>
        <w:pStyle w:val="a4"/>
        <w:tabs>
          <w:tab w:val="left" w:pos="-1130"/>
        </w:tabs>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服勤單位得依役男專長或服勤處所之建議或其他特殊原因，報本部核定，辦理直轄市、縣（市）內役男服勤處所遷調。</w:t>
      </w:r>
    </w:p>
    <w:p w:rsidR="003A0CA2" w:rsidRDefault="00286E14">
      <w:pPr>
        <w:pStyle w:val="a4"/>
        <w:overflowPunct w:val="0"/>
        <w:spacing w:line="240" w:lineRule="auto"/>
        <w:ind w:left="1698" w:hanging="56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役男申請調返戶籍地或附近地區服勤應符合下列條件，並檢具相關證明文件：</w:t>
      </w:r>
    </w:p>
    <w:p w:rsidR="003A0CA2" w:rsidRDefault="00286E14">
      <w:pPr>
        <w:pStyle w:val="a4"/>
        <w:overflowPunct w:val="0"/>
        <w:spacing w:line="240" w:lineRule="auto"/>
        <w:ind w:left="2266" w:hanging="56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、家庭因素申請服替代役經核准者。</w:t>
      </w:r>
    </w:p>
    <w:p w:rsidR="003A0CA2" w:rsidRDefault="00286E14">
      <w:pPr>
        <w:pStyle w:val="a4"/>
        <w:overflowPunct w:val="0"/>
        <w:spacing w:line="240" w:lineRule="auto"/>
        <w:ind w:left="2266" w:hanging="56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、役男家屬經役政機關核列為生活扶助戶者。</w:t>
      </w:r>
    </w:p>
    <w:p w:rsidR="003A0CA2" w:rsidRDefault="00286E14">
      <w:pPr>
        <w:pStyle w:val="a4"/>
        <w:overflowPunct w:val="0"/>
        <w:spacing w:line="240" w:lineRule="auto"/>
        <w:ind w:left="847" w:firstLine="851"/>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、役男配偶已懷孕者。</w:t>
      </w:r>
    </w:p>
    <w:p w:rsidR="003A0CA2" w:rsidRDefault="00286E14">
      <w:pPr>
        <w:pStyle w:val="a4"/>
        <w:overflowPunct w:val="0"/>
        <w:spacing w:line="240" w:lineRule="auto"/>
        <w:ind w:left="1039" w:firstLine="661"/>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、役男家屬患有身心障礙或重大傷病者。</w:t>
      </w:r>
    </w:p>
    <w:p w:rsidR="003A0CA2" w:rsidRDefault="00286E14">
      <w:pPr>
        <w:pStyle w:val="a4"/>
        <w:overflowPunct w:val="0"/>
        <w:spacing w:line="240" w:lineRule="auto"/>
        <w:ind w:left="2125" w:hanging="423"/>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、役男與同戶籍之兄弟姊妹二人以上同時服軍官役、士官役、常備兵役或替代役之現役，各人之剩餘役</w:t>
      </w:r>
      <w:r>
        <w:rPr>
          <w:rFonts w:ascii="標楷體" w:eastAsia="標楷體" w:hAnsi="標楷體"/>
          <w:sz w:val="28"/>
          <w:szCs w:val="28"/>
        </w:rPr>
        <w:lastRenderedPageBreak/>
        <w:t>期均在二個月以上，且皆未分發至戶籍地或附近地區服役時，其中服替代役之役男得擇一人申請。</w:t>
      </w:r>
    </w:p>
    <w:p w:rsidR="003A0CA2" w:rsidRDefault="00286E14">
      <w:pPr>
        <w:pStyle w:val="a4"/>
        <w:overflowPunct w:val="0"/>
        <w:spacing w:line="240" w:lineRule="auto"/>
        <w:ind w:left="2125" w:hanging="423"/>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、戶籍設於外島、離島、臺東與花蓮地區者，得申請調返外島、離島、臺東、花蓮地區服勤。</w:t>
      </w:r>
    </w:p>
    <w:p w:rsidR="003A0CA2" w:rsidRDefault="00286E14">
      <w:pPr>
        <w:pStyle w:val="a4"/>
        <w:tabs>
          <w:tab w:val="left" w:pos="-472"/>
        </w:tabs>
        <w:overflowPunct w:val="0"/>
        <w:spacing w:line="240" w:lineRule="auto"/>
        <w:ind w:left="1039" w:firstLine="661"/>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、原住民得申請調返戶籍山地鄉服勤。</w:t>
      </w:r>
    </w:p>
    <w:p w:rsidR="003A0CA2" w:rsidRDefault="00286E14">
      <w:pPr>
        <w:pStyle w:val="a4"/>
        <w:tabs>
          <w:tab w:val="left" w:pos="-1320"/>
          <w:tab w:val="left" w:pos="-1178"/>
        </w:tabs>
        <w:overflowPunct w:val="0"/>
        <w:spacing w:line="240" w:lineRule="auto"/>
        <w:ind w:left="1701"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一般替代役役男因心理困擾，無法於服勤地區獲得適當治療或諮商服務，經內政部役政署委託之諮商機構（單位）評估，並持有證明文件者，得請調往治療、諮商服務便利地區之服勤單位</w:t>
      </w:r>
      <w:r>
        <w:rPr>
          <w:rFonts w:ascii="標楷體" w:eastAsia="標楷體" w:hAnsi="標楷體"/>
          <w:sz w:val="28"/>
          <w:szCs w:val="28"/>
        </w:rPr>
        <w:t>（處所）服役。</w:t>
      </w:r>
    </w:p>
    <w:p w:rsidR="003A0CA2" w:rsidRDefault="00286E14">
      <w:pPr>
        <w:pStyle w:val="a4"/>
        <w:overflowPunct w:val="0"/>
        <w:spacing w:line="240" w:lineRule="auto"/>
        <w:ind w:left="1134" w:firstLine="567"/>
        <w:jc w:val="both"/>
        <w:rPr>
          <w:rFonts w:ascii="標楷體" w:eastAsia="標楷體" w:hAnsi="標楷體"/>
          <w:sz w:val="28"/>
          <w:szCs w:val="28"/>
        </w:rPr>
      </w:pPr>
      <w:r>
        <w:rPr>
          <w:rFonts w:ascii="標楷體" w:eastAsia="標楷體" w:hAnsi="標楷體"/>
          <w:sz w:val="28"/>
          <w:szCs w:val="28"/>
        </w:rPr>
        <w:t>役男如符合前項第四款各目申請條件而其戶籍地或附近地區無需求員額時，可保留其申請資格，俟有出缺時優先調返。</w:t>
      </w:r>
    </w:p>
    <w:p w:rsidR="003A0CA2" w:rsidRDefault="00286E14">
      <w:pPr>
        <w:pStyle w:val="a4"/>
        <w:overflowPunct w:val="0"/>
        <w:spacing w:line="240" w:lineRule="auto"/>
        <w:ind w:left="1134" w:firstLine="567"/>
        <w:jc w:val="both"/>
        <w:rPr>
          <w:rFonts w:ascii="標楷體" w:eastAsia="標楷體" w:hAnsi="標楷體"/>
          <w:sz w:val="28"/>
          <w:szCs w:val="28"/>
        </w:rPr>
      </w:pPr>
      <w:r>
        <w:rPr>
          <w:rFonts w:ascii="標楷體" w:eastAsia="標楷體" w:hAnsi="標楷體"/>
          <w:sz w:val="28"/>
          <w:szCs w:val="28"/>
        </w:rPr>
        <w:t>第一項第四款各目所稱戶籍地，指家屬之設籍所在地；所定附近地區，以戶籍地臨近之縣（市）為界定。</w:t>
      </w:r>
    </w:p>
    <w:p w:rsidR="003A0CA2" w:rsidRDefault="00286E14">
      <w:pPr>
        <w:pStyle w:val="a4"/>
        <w:overflowPunct w:val="0"/>
        <w:spacing w:line="240" w:lineRule="auto"/>
        <w:ind w:left="1134" w:firstLine="567"/>
        <w:jc w:val="both"/>
        <w:rPr>
          <w:rFonts w:hint="eastAsia"/>
        </w:rPr>
      </w:pPr>
      <w:r>
        <w:rPr>
          <w:rFonts w:ascii="標楷體" w:eastAsia="標楷體" w:hAnsi="標楷體"/>
          <w:sz w:val="28"/>
          <w:szCs w:val="28"/>
        </w:rPr>
        <w:t>役男依第一項第四款規定申請調返戶籍地或附近地區者，如無符合役男專長之服勤處所，得視狀況由本部核定變更役男專長。</w:t>
      </w:r>
    </w:p>
    <w:sectPr w:rsidR="003A0CA2">
      <w:footerReference w:type="default" r:id="rId6"/>
      <w:pgSz w:w="11906" w:h="16838"/>
      <w:pgMar w:top="720" w:right="1800" w:bottom="1440" w:left="1800" w:header="0" w:footer="992"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14" w:rsidRDefault="00286E14">
      <w:pPr>
        <w:rPr>
          <w:rFonts w:hint="eastAsia"/>
        </w:rPr>
      </w:pPr>
      <w:r>
        <w:separator/>
      </w:r>
    </w:p>
  </w:endnote>
  <w:endnote w:type="continuationSeparator" w:id="0">
    <w:p w:rsidR="00286E14" w:rsidRDefault="00286E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A2" w:rsidRDefault="00286E14">
    <w:pPr>
      <w:pStyle w:val="a9"/>
      <w:jc w:val="center"/>
      <w:rPr>
        <w:rFonts w:hint="eastAsia"/>
      </w:rPr>
    </w:pPr>
    <w:r>
      <w:rPr>
        <w:lang w:val="zh-TW"/>
      </w:rPr>
      <w:fldChar w:fldCharType="begin"/>
    </w:r>
    <w:r>
      <w:instrText>PAGE</w:instrText>
    </w:r>
    <w:r>
      <w:fldChar w:fldCharType="separate"/>
    </w:r>
    <w:r w:rsidR="00374A7C">
      <w:rPr>
        <w:rFonts w:hint="eastAsia"/>
        <w:noProof/>
      </w:rPr>
      <w:t>2</w:t>
    </w:r>
    <w:r>
      <w:fldChar w:fldCharType="end"/>
    </w:r>
  </w:p>
  <w:p w:rsidR="003A0CA2" w:rsidRDefault="003A0CA2">
    <w:pPr>
      <w:pStyle w:val="a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14" w:rsidRDefault="00286E14">
      <w:pPr>
        <w:rPr>
          <w:rFonts w:hint="eastAsia"/>
        </w:rPr>
      </w:pPr>
      <w:r>
        <w:separator/>
      </w:r>
    </w:p>
  </w:footnote>
  <w:footnote w:type="continuationSeparator" w:id="0">
    <w:p w:rsidR="00286E14" w:rsidRDefault="00286E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A2"/>
    <w:rsid w:val="00286E14"/>
    <w:rsid w:val="00374A7C"/>
    <w:rsid w:val="003A0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B5AFF-2B17-4BCF-AD84-34A5990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qFormat/>
    <w:rPr>
      <w:rFonts w:ascii="Calibri Light" w:eastAsia="新細明體" w:hAnsi="Calibri Light"/>
      <w:sz w:val="18"/>
      <w:szCs w:val="16"/>
    </w:rPr>
  </w:style>
  <w:style w:type="paragraph" w:styleId="a4">
    <w:name w:val="Body Text"/>
    <w:basedOn w:val="a"/>
    <w:pPr>
      <w:spacing w:after="140" w:line="288" w:lineRule="auto"/>
    </w:pPr>
  </w:style>
  <w:style w:type="paragraph" w:styleId="a5">
    <w:name w:val="Title"/>
    <w:basedOn w:val="a"/>
    <w:next w:val="a4"/>
    <w:qFormat/>
    <w:pPr>
      <w:spacing w:before="240" w:after="120"/>
    </w:pPr>
    <w:rPr>
      <w:rFonts w:ascii="Liberation Sans" w:eastAsia="微軟正黑體" w:hAnsi="Liberation Sans"/>
      <w:sz w:val="28"/>
      <w:szCs w:val="28"/>
    </w:rPr>
  </w:style>
  <w:style w:type="paragraph" w:styleId="a6">
    <w:name w:val="List"/>
    <w:basedOn w:val="a4"/>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styleId="a9">
    <w:name w:val="footer"/>
    <w:basedOn w:val="a4"/>
    <w:pPr>
      <w:tabs>
        <w:tab w:val="center" w:pos="4153"/>
        <w:tab w:val="right" w:pos="8306"/>
      </w:tabs>
      <w:snapToGrid w:val="0"/>
    </w:pPr>
    <w:rPr>
      <w:sz w:val="20"/>
      <w:szCs w:val="20"/>
    </w:rPr>
  </w:style>
  <w:style w:type="paragraph" w:styleId="aa">
    <w:name w:val="Balloon Text"/>
    <w:basedOn w:val="a4"/>
    <w:qFormat/>
    <w:rPr>
      <w:rFonts w:ascii="Calibri Light" w:hAnsi="Calibri Light"/>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邱冠璋</dc:creator>
  <dc:description/>
  <cp:lastModifiedBy>Windows 使用者</cp:lastModifiedBy>
  <cp:revision>2</cp:revision>
  <cp:lastPrinted>2017-03-27T01:01:00Z</cp:lastPrinted>
  <dcterms:created xsi:type="dcterms:W3CDTF">2017-04-12T06:12:00Z</dcterms:created>
  <dcterms:modified xsi:type="dcterms:W3CDTF">2017-04-12T06:12:00Z</dcterms:modified>
  <dc:language>zh-TW</dc:language>
</cp:coreProperties>
</file>